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E7B" w:rsidRPr="00F44E7B" w:rsidRDefault="00F44E7B" w:rsidP="00F44E7B">
      <w:pPr>
        <w:spacing w:line="276" w:lineRule="auto"/>
        <w:jc w:val="both"/>
        <w:rPr>
          <w:b/>
        </w:rPr>
      </w:pPr>
      <w:r w:rsidRPr="00F44E7B">
        <w:rPr>
          <w:b/>
        </w:rPr>
        <w:t xml:space="preserve">NAZIV </w:t>
      </w:r>
      <w:r w:rsidR="009B5B4D" w:rsidRPr="00F44E7B">
        <w:rPr>
          <w:b/>
        </w:rPr>
        <w:t>AKTIVNOSTI</w:t>
      </w:r>
    </w:p>
    <w:p w:rsidR="00F44E7B" w:rsidRDefault="00EE789F" w:rsidP="00F44E7B">
      <w:pPr>
        <w:pStyle w:val="Noga"/>
        <w:tabs>
          <w:tab w:val="left" w:pos="720"/>
        </w:tabs>
        <w:spacing w:line="276" w:lineRule="auto"/>
        <w:jc w:val="both"/>
        <w:rPr>
          <w:rStyle w:val="bold"/>
          <w:lang w:val="sl-SI"/>
        </w:rPr>
      </w:pPr>
      <w:r w:rsidRPr="00EE789F">
        <w:t xml:space="preserve">Nakup opreme za predelavo, shranjevanje in degustacijo vin </w:t>
      </w:r>
      <w:proofErr w:type="spellStart"/>
      <w:r w:rsidRPr="00EE789F">
        <w:t>Guerila</w:t>
      </w:r>
      <w:proofErr w:type="spellEnd"/>
      <w:r w:rsidRPr="00EE789F">
        <w:t xml:space="preserve"> </w:t>
      </w:r>
      <w:r w:rsidR="00F44E7B">
        <w:rPr>
          <w:bCs/>
        </w:rPr>
        <w:t xml:space="preserve"> iz naslova </w:t>
      </w:r>
      <w:proofErr w:type="spellStart"/>
      <w:r w:rsidR="00F44E7B">
        <w:rPr>
          <w:bCs/>
        </w:rPr>
        <w:t>podukrepa</w:t>
      </w:r>
      <w:proofErr w:type="spellEnd"/>
      <w:r w:rsidR="00F44E7B">
        <w:rPr>
          <w:bCs/>
        </w:rPr>
        <w:t xml:space="preserve"> 4.2 </w:t>
      </w:r>
      <w:r w:rsidR="00F44E7B">
        <w:rPr>
          <w:rStyle w:val="bold"/>
        </w:rPr>
        <w:t>Podpora za naložbe v predelavo, trženje oziroma razvoj kmetijskih proizvodov za leto 201</w:t>
      </w:r>
      <w:r>
        <w:rPr>
          <w:rStyle w:val="bold"/>
          <w:lang w:val="sl-SI"/>
        </w:rPr>
        <w:t xml:space="preserve">7. </w:t>
      </w:r>
    </w:p>
    <w:p w:rsidR="00EE789F" w:rsidRPr="00257407" w:rsidRDefault="00EE789F" w:rsidP="00257407">
      <w:pPr>
        <w:spacing w:line="276" w:lineRule="auto"/>
        <w:jc w:val="both"/>
        <w:rPr>
          <w:rFonts w:cs="Arial"/>
          <w:szCs w:val="22"/>
        </w:rPr>
      </w:pPr>
      <w:r>
        <w:rPr>
          <w:rStyle w:val="bold"/>
        </w:rPr>
        <w:t xml:space="preserve">Predmet naložbe </w:t>
      </w:r>
      <w:r w:rsidRPr="00DF51DE">
        <w:rPr>
          <w:rFonts w:cs="Arial"/>
          <w:szCs w:val="22"/>
        </w:rPr>
        <w:t>je nakup opreme za p</w:t>
      </w:r>
      <w:r>
        <w:rPr>
          <w:rFonts w:cs="Arial"/>
          <w:szCs w:val="22"/>
        </w:rPr>
        <w:t>redelavo</w:t>
      </w:r>
      <w:r w:rsidRPr="00DF51DE">
        <w:rPr>
          <w:rFonts w:cs="Arial"/>
          <w:szCs w:val="22"/>
        </w:rPr>
        <w:t xml:space="preserve"> in shranjevanje vina, ter opreme za ureditev degustacijskega prostora. </w:t>
      </w:r>
      <w:r>
        <w:rPr>
          <w:rFonts w:cs="Arial"/>
          <w:szCs w:val="22"/>
        </w:rPr>
        <w:t>Le-ta</w:t>
      </w:r>
      <w:r w:rsidRPr="00DF51DE">
        <w:rPr>
          <w:rFonts w:cs="Arial"/>
          <w:szCs w:val="22"/>
        </w:rPr>
        <w:t xml:space="preserve"> bo nameščena v objektu </w:t>
      </w:r>
      <w:proofErr w:type="spellStart"/>
      <w:r w:rsidRPr="00DF51DE">
        <w:rPr>
          <w:rFonts w:cs="Arial"/>
          <w:szCs w:val="22"/>
        </w:rPr>
        <w:t>Kemtija</w:t>
      </w:r>
      <w:proofErr w:type="spellEnd"/>
      <w:r w:rsidRPr="00DF51DE">
        <w:rPr>
          <w:rFonts w:cs="Arial"/>
          <w:szCs w:val="22"/>
        </w:rPr>
        <w:t xml:space="preserve"> </w:t>
      </w:r>
      <w:proofErr w:type="spellStart"/>
      <w:r w:rsidRPr="00DF51DE">
        <w:rPr>
          <w:rFonts w:cs="Arial"/>
          <w:szCs w:val="22"/>
        </w:rPr>
        <w:t>Guerila</w:t>
      </w:r>
      <w:proofErr w:type="spellEnd"/>
      <w:r w:rsidR="008B6220">
        <w:rPr>
          <w:rFonts w:cs="Arial"/>
          <w:szCs w:val="22"/>
        </w:rPr>
        <w:t>.</w:t>
      </w:r>
      <w:r w:rsidRPr="00DF51DE">
        <w:rPr>
          <w:rFonts w:cs="Arial"/>
          <w:szCs w:val="22"/>
        </w:rPr>
        <w:t xml:space="preserve"> </w:t>
      </w:r>
      <w:r w:rsidR="008B6220">
        <w:rPr>
          <w:rFonts w:cs="Arial"/>
          <w:szCs w:val="22"/>
        </w:rPr>
        <w:t>Z gradnjo le-tega</w:t>
      </w:r>
      <w:r w:rsidRPr="00DF51DE">
        <w:rPr>
          <w:rFonts w:cs="Arial"/>
          <w:szCs w:val="22"/>
        </w:rPr>
        <w:t xml:space="preserve"> je kmetijsko gospodarstvo g. Zmagoslava Petriča pričelo v letu 2016. Objekt</w:t>
      </w:r>
      <w:r w:rsidRPr="00DF51DE">
        <w:rPr>
          <w:rFonts w:cs="Arial"/>
          <w:b/>
          <w:color w:val="000000"/>
          <w:szCs w:val="22"/>
        </w:rPr>
        <w:t xml:space="preserve"> </w:t>
      </w:r>
      <w:r w:rsidRPr="00DF51DE">
        <w:rPr>
          <w:rFonts w:cs="Arial"/>
          <w:color w:val="000000"/>
          <w:szCs w:val="22"/>
        </w:rPr>
        <w:t>s</w:t>
      </w:r>
      <w:r w:rsidRPr="00DF51DE">
        <w:rPr>
          <w:rFonts w:cs="Arial"/>
          <w:b/>
          <w:color w:val="000000"/>
          <w:szCs w:val="22"/>
        </w:rPr>
        <w:t xml:space="preserve"> </w:t>
      </w:r>
      <w:r w:rsidRPr="00DF51DE">
        <w:rPr>
          <w:rFonts w:cs="Arial"/>
          <w:szCs w:val="22"/>
        </w:rPr>
        <w:t>klasifikacijo »12713- Stavbe za spravilo pridelka« bo vseboval prostore namenjene predelavi grozdja, stekleničenju, skladiščenju in  degustaciji vin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Guerila</w:t>
      </w:r>
      <w:proofErr w:type="spellEnd"/>
      <w:r w:rsidRPr="00DF51DE">
        <w:rPr>
          <w:rFonts w:cs="Arial"/>
          <w:szCs w:val="22"/>
        </w:rPr>
        <w:t>.</w:t>
      </w:r>
    </w:p>
    <w:p w:rsidR="00F44E7B" w:rsidRPr="00EE789F" w:rsidRDefault="00F44E7B" w:rsidP="00F44E7B">
      <w:pPr>
        <w:spacing w:line="276" w:lineRule="auto"/>
        <w:jc w:val="both"/>
        <w:rPr>
          <w:highlight w:val="yellow"/>
        </w:rPr>
      </w:pPr>
    </w:p>
    <w:p w:rsidR="00413CC9" w:rsidRDefault="00F44E7B" w:rsidP="00F44E7B">
      <w:pPr>
        <w:spacing w:line="276" w:lineRule="auto"/>
        <w:jc w:val="both"/>
        <w:rPr>
          <w:rFonts w:cs="Arial"/>
          <w:szCs w:val="22"/>
        </w:rPr>
      </w:pPr>
      <w:r w:rsidRPr="00413CC9">
        <w:rPr>
          <w:b/>
        </w:rPr>
        <w:t>POVZETEK</w:t>
      </w:r>
      <w:r w:rsidRPr="00413CC9">
        <w:br/>
        <w:t xml:space="preserve">Kmetija je na javnem razpisu kandidirala za nepovratna sredstva za naložbo </w:t>
      </w:r>
      <w:r w:rsidR="00413CC9">
        <w:t>za n</w:t>
      </w:r>
      <w:r w:rsidR="00413CC9" w:rsidRPr="00EE789F">
        <w:t xml:space="preserve">akup opreme za predelavo, shranjevanje in degustacijo </w:t>
      </w:r>
      <w:r w:rsidR="00413CC9">
        <w:t>lastnih vin.</w:t>
      </w:r>
      <w:r w:rsidR="00413CC9">
        <w:rPr>
          <w:bCs/>
        </w:rPr>
        <w:t xml:space="preserve"> </w:t>
      </w:r>
      <w:r w:rsidRPr="00413CC9">
        <w:rPr>
          <w:rFonts w:cs="Arial"/>
          <w:szCs w:val="22"/>
        </w:rPr>
        <w:t xml:space="preserve">Odločitev za izvedbo naložbe je bila sprejeta </w:t>
      </w:r>
      <w:r w:rsidR="00413CC9" w:rsidRPr="00413CC9">
        <w:rPr>
          <w:rFonts w:cs="Arial"/>
          <w:szCs w:val="22"/>
        </w:rPr>
        <w:t xml:space="preserve">po tem, ko je bilo ocenjeno, da je kmetijsko gospodarstvo </w:t>
      </w:r>
      <w:r w:rsidR="00413CC9" w:rsidRPr="00820A1B">
        <w:rPr>
          <w:rFonts w:cs="Arial"/>
          <w:szCs w:val="22"/>
        </w:rPr>
        <w:t>prebrodil</w:t>
      </w:r>
      <w:r w:rsidR="008B6220">
        <w:rPr>
          <w:rFonts w:cs="Arial"/>
          <w:szCs w:val="22"/>
        </w:rPr>
        <w:t>o</w:t>
      </w:r>
      <w:r w:rsidR="00413CC9" w:rsidRPr="00820A1B">
        <w:rPr>
          <w:rFonts w:cs="Arial"/>
          <w:szCs w:val="22"/>
        </w:rPr>
        <w:t xml:space="preserve"> vse </w:t>
      </w:r>
      <w:r w:rsidR="00413CC9">
        <w:rPr>
          <w:rFonts w:cs="Arial"/>
          <w:szCs w:val="22"/>
        </w:rPr>
        <w:t>večje</w:t>
      </w:r>
      <w:r w:rsidR="00413CC9" w:rsidRPr="00820A1B">
        <w:rPr>
          <w:rFonts w:cs="Arial"/>
          <w:szCs w:val="22"/>
        </w:rPr>
        <w:t xml:space="preserve"> težave</w:t>
      </w:r>
      <w:r w:rsidR="00413CC9">
        <w:rPr>
          <w:rFonts w:cs="Arial"/>
          <w:szCs w:val="22"/>
        </w:rPr>
        <w:t xml:space="preserve">, ki so bile predvidene ob novogradnji objekta (operativne in finančne). </w:t>
      </w:r>
      <w:r w:rsidR="00413CC9" w:rsidRPr="00820A1B">
        <w:rPr>
          <w:rFonts w:cs="Arial"/>
          <w:szCs w:val="22"/>
        </w:rPr>
        <w:t xml:space="preserve">Prvotno je bilo </w:t>
      </w:r>
      <w:r w:rsidR="00413CC9">
        <w:rPr>
          <w:rFonts w:cs="Arial"/>
          <w:szCs w:val="22"/>
        </w:rPr>
        <w:t xml:space="preserve">namreč </w:t>
      </w:r>
      <w:r w:rsidR="00413CC9" w:rsidRPr="00820A1B">
        <w:rPr>
          <w:rFonts w:cs="Arial"/>
          <w:szCs w:val="22"/>
        </w:rPr>
        <w:t>načrtovano, da bodo, po sili razmer, vinsko klet in degustacijski prostor opremili z opremo, s katero so razpolagali že v prejšnjih prostorih</w:t>
      </w:r>
      <w:r w:rsidR="00413CC9">
        <w:rPr>
          <w:rFonts w:cs="Arial"/>
          <w:szCs w:val="22"/>
        </w:rPr>
        <w:t xml:space="preserve">. </w:t>
      </w:r>
    </w:p>
    <w:p w:rsidR="00413CC9" w:rsidRPr="00413CC9" w:rsidRDefault="00413CC9" w:rsidP="00F44E7B">
      <w:pPr>
        <w:spacing w:line="276" w:lineRule="auto"/>
        <w:jc w:val="both"/>
        <w:rPr>
          <w:b/>
        </w:rPr>
      </w:pPr>
    </w:p>
    <w:p w:rsidR="00740720" w:rsidRPr="00413CC9" w:rsidRDefault="00F44E7B" w:rsidP="00F44E7B">
      <w:pPr>
        <w:spacing w:line="276" w:lineRule="auto"/>
        <w:jc w:val="both"/>
        <w:rPr>
          <w:b/>
        </w:rPr>
      </w:pPr>
      <w:r w:rsidRPr="00413CC9">
        <w:rPr>
          <w:b/>
        </w:rPr>
        <w:t>GLAVNE DEJAVNOSTI</w:t>
      </w:r>
    </w:p>
    <w:p w:rsidR="00413CC9" w:rsidRDefault="00413CC9" w:rsidP="00413CC9">
      <w:pPr>
        <w:pStyle w:val="Noga"/>
        <w:tabs>
          <w:tab w:val="left" w:pos="720"/>
        </w:tabs>
        <w:spacing w:line="276" w:lineRule="auto"/>
        <w:jc w:val="both"/>
        <w:rPr>
          <w:rFonts w:cs="Arial"/>
          <w:szCs w:val="22"/>
        </w:rPr>
      </w:pPr>
      <w:r w:rsidRPr="00820A1B">
        <w:rPr>
          <w:rFonts w:cs="Arial"/>
          <w:szCs w:val="22"/>
        </w:rPr>
        <w:t xml:space="preserve">Pozitiven razplet gradnje objekta, predvsem s finančnega vidika, in načrtovano povečanje uporabnih površin vinogradov je prijavitelja spodbudilo k izvedbi naložbe, </w:t>
      </w:r>
      <w:r>
        <w:rPr>
          <w:rFonts w:cs="Arial"/>
          <w:szCs w:val="22"/>
        </w:rPr>
        <w:t>ki se glede na namembnost deli na dva dela</w:t>
      </w:r>
      <w:r w:rsidR="008B6220">
        <w:rPr>
          <w:rFonts w:cs="Arial"/>
          <w:szCs w:val="22"/>
          <w:lang w:val="sl-SI"/>
        </w:rPr>
        <w:t xml:space="preserve">, </w:t>
      </w:r>
      <w:r>
        <w:rPr>
          <w:rFonts w:cs="Arial"/>
          <w:szCs w:val="22"/>
        </w:rPr>
        <w:t>in</w:t>
      </w:r>
      <w:r>
        <w:rPr>
          <w:rFonts w:cs="Arial"/>
          <w:szCs w:val="22"/>
          <w:lang w:val="sl-SI"/>
        </w:rPr>
        <w:t xml:space="preserve"> </w:t>
      </w:r>
      <w:r>
        <w:rPr>
          <w:rFonts w:cs="Arial"/>
          <w:szCs w:val="22"/>
        </w:rPr>
        <w:t>sicer:</w:t>
      </w:r>
    </w:p>
    <w:p w:rsidR="00413CC9" w:rsidRPr="00257407" w:rsidRDefault="00413CC9" w:rsidP="00413CC9">
      <w:pPr>
        <w:pStyle w:val="Noga"/>
        <w:tabs>
          <w:tab w:val="left" w:pos="720"/>
        </w:tabs>
        <w:spacing w:line="276" w:lineRule="auto"/>
        <w:jc w:val="both"/>
        <w:rPr>
          <w:rFonts w:cs="Arial"/>
          <w:szCs w:val="22"/>
          <w:u w:val="single"/>
        </w:rPr>
      </w:pPr>
      <w:r w:rsidRPr="00257407">
        <w:rPr>
          <w:rFonts w:cs="Arial"/>
          <w:szCs w:val="22"/>
          <w:u w:val="single"/>
          <w:lang w:val="sl-SI"/>
        </w:rPr>
        <w:t>A. OPREMA ZA PREDELAVO GROZDJA IN SKLADIŠČENJE</w:t>
      </w:r>
    </w:p>
    <w:p w:rsidR="00413CC9" w:rsidRPr="00A61602" w:rsidRDefault="00413CC9" w:rsidP="00413CC9">
      <w:pPr>
        <w:pStyle w:val="Noga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cs="Arial"/>
          <w:szCs w:val="22"/>
          <w:lang w:val="sl-SI"/>
        </w:rPr>
      </w:pPr>
      <w:r w:rsidRPr="00A61602">
        <w:rPr>
          <w:rFonts w:cs="Arial"/>
          <w:szCs w:val="22"/>
          <w:lang w:val="sl-SI"/>
        </w:rPr>
        <w:t>Betonske cisterne</w:t>
      </w:r>
      <w:bookmarkStart w:id="0" w:name="_GoBack"/>
      <w:bookmarkEnd w:id="0"/>
    </w:p>
    <w:p w:rsidR="00413CC9" w:rsidRPr="00A61602" w:rsidRDefault="00413CC9" w:rsidP="00413CC9">
      <w:pPr>
        <w:pStyle w:val="Noga"/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cs="Arial"/>
          <w:szCs w:val="22"/>
          <w:lang w:val="sl-SI"/>
        </w:rPr>
      </w:pPr>
      <w:r w:rsidRPr="00A61602">
        <w:rPr>
          <w:rFonts w:cs="Arial"/>
          <w:szCs w:val="22"/>
          <w:lang w:val="sl-SI"/>
        </w:rPr>
        <w:t>Sodi</w:t>
      </w:r>
    </w:p>
    <w:p w:rsidR="00413CC9" w:rsidRPr="00A61602" w:rsidRDefault="00413CC9" w:rsidP="00413CC9">
      <w:pPr>
        <w:pStyle w:val="Noga"/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cs="Arial"/>
          <w:szCs w:val="22"/>
          <w:lang w:val="sl-SI"/>
        </w:rPr>
      </w:pPr>
      <w:proofErr w:type="spellStart"/>
      <w:r w:rsidRPr="00A61602">
        <w:rPr>
          <w:rFonts w:cs="Arial"/>
          <w:szCs w:val="22"/>
          <w:lang w:val="sl-SI"/>
        </w:rPr>
        <w:t>Peristatična</w:t>
      </w:r>
      <w:proofErr w:type="spellEnd"/>
      <w:r w:rsidRPr="00A61602">
        <w:rPr>
          <w:rFonts w:cs="Arial"/>
          <w:szCs w:val="22"/>
          <w:lang w:val="sl-SI"/>
        </w:rPr>
        <w:t xml:space="preserve"> črpalka za črpanje vina, drozge in tropin</w:t>
      </w:r>
    </w:p>
    <w:p w:rsidR="00413CC9" w:rsidRPr="00257407" w:rsidRDefault="00413CC9" w:rsidP="00413CC9">
      <w:pPr>
        <w:pStyle w:val="Noga"/>
        <w:tabs>
          <w:tab w:val="left" w:pos="720"/>
        </w:tabs>
        <w:spacing w:line="276" w:lineRule="auto"/>
        <w:jc w:val="both"/>
        <w:rPr>
          <w:rFonts w:cs="Arial"/>
          <w:szCs w:val="22"/>
          <w:u w:val="single"/>
          <w:lang w:val="sl-SI"/>
        </w:rPr>
      </w:pPr>
      <w:r w:rsidRPr="00257407">
        <w:rPr>
          <w:rFonts w:cs="Arial"/>
          <w:szCs w:val="22"/>
          <w:u w:val="single"/>
          <w:lang w:val="sl-SI"/>
        </w:rPr>
        <w:t>B. OPREMA V DRUGE PROSTORE (NOTRANJA OPREMA)</w:t>
      </w:r>
    </w:p>
    <w:p w:rsidR="00413CC9" w:rsidRPr="00A61602" w:rsidRDefault="00413CC9" w:rsidP="00413CC9">
      <w:pPr>
        <w:pStyle w:val="Noga"/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cs="Arial"/>
          <w:szCs w:val="22"/>
          <w:lang w:val="sl-SI"/>
        </w:rPr>
      </w:pPr>
      <w:r w:rsidRPr="00A61602">
        <w:rPr>
          <w:rFonts w:cs="Arial"/>
          <w:szCs w:val="22"/>
          <w:lang w:val="sl-SI"/>
        </w:rPr>
        <w:t>Miza in stoli</w:t>
      </w:r>
    </w:p>
    <w:p w:rsidR="00413CC9" w:rsidRPr="008C3A5B" w:rsidRDefault="00413CC9" w:rsidP="00413CC9">
      <w:pPr>
        <w:pStyle w:val="Noga"/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cs="Arial"/>
          <w:szCs w:val="22"/>
          <w:lang w:val="sl-SI"/>
        </w:rPr>
      </w:pPr>
      <w:r w:rsidRPr="008C3A5B">
        <w:rPr>
          <w:rFonts w:cs="Arial"/>
          <w:szCs w:val="22"/>
          <w:lang w:val="sl-SI"/>
        </w:rPr>
        <w:t>Ostala oprema (omare, regali, pregradne stene, stenske obloge iz lesa</w:t>
      </w:r>
      <w:r w:rsidR="008B6220">
        <w:rPr>
          <w:rFonts w:cs="Arial"/>
          <w:szCs w:val="22"/>
          <w:lang w:val="sl-SI"/>
        </w:rPr>
        <w:t>, zavese</w:t>
      </w:r>
      <w:r w:rsidR="008C3A5B">
        <w:rPr>
          <w:rFonts w:cs="Arial"/>
          <w:szCs w:val="22"/>
          <w:lang w:val="sl-SI"/>
        </w:rPr>
        <w:t xml:space="preserve"> itn.)</w:t>
      </w:r>
    </w:p>
    <w:p w:rsidR="00740720" w:rsidRPr="00EE789F" w:rsidRDefault="00740720" w:rsidP="00740720">
      <w:pPr>
        <w:spacing w:line="276" w:lineRule="auto"/>
        <w:jc w:val="both"/>
        <w:rPr>
          <w:rFonts w:cs="Arial"/>
          <w:szCs w:val="22"/>
          <w:highlight w:val="yellow"/>
        </w:rPr>
      </w:pPr>
    </w:p>
    <w:p w:rsidR="00740720" w:rsidRPr="008C3A5B" w:rsidRDefault="00740720" w:rsidP="008C3A5B">
      <w:pPr>
        <w:spacing w:line="276" w:lineRule="auto"/>
        <w:jc w:val="both"/>
        <w:rPr>
          <w:b/>
        </w:rPr>
      </w:pPr>
      <w:r w:rsidRPr="008C3A5B">
        <w:rPr>
          <w:b/>
        </w:rPr>
        <w:t>CILJI</w:t>
      </w:r>
    </w:p>
    <w:p w:rsidR="008C3A5B" w:rsidRPr="00924B23" w:rsidRDefault="008C3A5B" w:rsidP="008C3A5B">
      <w:pPr>
        <w:numPr>
          <w:ilvl w:val="0"/>
          <w:numId w:val="1"/>
        </w:numPr>
        <w:spacing w:line="276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Opremiti vinsko</w:t>
      </w:r>
      <w:r w:rsidRPr="00924B23">
        <w:rPr>
          <w:rFonts w:cs="Arial"/>
          <w:bCs/>
          <w:szCs w:val="22"/>
        </w:rPr>
        <w:t xml:space="preserve"> klet za predelavo in shranjevanje;</w:t>
      </w:r>
    </w:p>
    <w:p w:rsidR="008C3A5B" w:rsidRPr="00924B23" w:rsidRDefault="008C3A5B" w:rsidP="008C3A5B">
      <w:pPr>
        <w:numPr>
          <w:ilvl w:val="0"/>
          <w:numId w:val="1"/>
        </w:numPr>
        <w:spacing w:line="276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Opremiti </w:t>
      </w:r>
      <w:r w:rsidRPr="00924B23">
        <w:rPr>
          <w:rFonts w:cs="Arial"/>
          <w:bCs/>
          <w:szCs w:val="22"/>
        </w:rPr>
        <w:t>degustacijski prostor;</w:t>
      </w:r>
    </w:p>
    <w:p w:rsidR="008C3A5B" w:rsidRDefault="008C3A5B" w:rsidP="008C3A5B">
      <w:pPr>
        <w:numPr>
          <w:ilvl w:val="0"/>
          <w:numId w:val="1"/>
        </w:numPr>
        <w:spacing w:line="276" w:lineRule="auto"/>
        <w:jc w:val="both"/>
        <w:rPr>
          <w:rFonts w:cs="Arial"/>
          <w:bCs/>
          <w:szCs w:val="22"/>
        </w:rPr>
      </w:pPr>
      <w:r w:rsidRPr="00924B23">
        <w:rPr>
          <w:rFonts w:cs="Arial"/>
          <w:bCs/>
          <w:szCs w:val="22"/>
        </w:rPr>
        <w:t xml:space="preserve">Povečati količino doma predelanega grozdja v vino blagovne znamke </w:t>
      </w:r>
      <w:proofErr w:type="spellStart"/>
      <w:r w:rsidRPr="00924B23">
        <w:rPr>
          <w:rFonts w:cs="Arial"/>
          <w:bCs/>
          <w:szCs w:val="22"/>
        </w:rPr>
        <w:t>Guerila</w:t>
      </w:r>
      <w:proofErr w:type="spellEnd"/>
      <w:r w:rsidRPr="00924B23">
        <w:rPr>
          <w:rFonts w:cs="Arial"/>
          <w:bCs/>
          <w:szCs w:val="22"/>
        </w:rPr>
        <w:t xml:space="preserve"> po metodi </w:t>
      </w:r>
      <w:proofErr w:type="spellStart"/>
      <w:r w:rsidRPr="00924B23">
        <w:rPr>
          <w:rFonts w:cs="Arial"/>
          <w:bCs/>
          <w:szCs w:val="22"/>
        </w:rPr>
        <w:t>Demeter</w:t>
      </w:r>
      <w:proofErr w:type="spellEnd"/>
      <w:r w:rsidRPr="00924B23">
        <w:rPr>
          <w:rFonts w:cs="Arial"/>
          <w:bCs/>
          <w:szCs w:val="22"/>
        </w:rPr>
        <w:t>;</w:t>
      </w:r>
    </w:p>
    <w:p w:rsidR="008C3A5B" w:rsidRPr="00924B23" w:rsidRDefault="008C3A5B" w:rsidP="008C3A5B">
      <w:pPr>
        <w:numPr>
          <w:ilvl w:val="0"/>
          <w:numId w:val="1"/>
        </w:numPr>
        <w:spacing w:line="276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Povečanje zaposlene delavne sile na kmetijskem gospodarstvu;</w:t>
      </w:r>
    </w:p>
    <w:p w:rsidR="008C3A5B" w:rsidRPr="00924B23" w:rsidRDefault="008C3A5B" w:rsidP="008C3A5B">
      <w:pPr>
        <w:numPr>
          <w:ilvl w:val="0"/>
          <w:numId w:val="1"/>
        </w:numPr>
        <w:spacing w:line="276" w:lineRule="auto"/>
        <w:jc w:val="both"/>
        <w:rPr>
          <w:rFonts w:cs="Arial"/>
          <w:bCs/>
          <w:szCs w:val="22"/>
        </w:rPr>
      </w:pPr>
      <w:r w:rsidRPr="00924B23">
        <w:rPr>
          <w:rFonts w:cs="Arial"/>
          <w:bCs/>
          <w:szCs w:val="22"/>
        </w:rPr>
        <w:t xml:space="preserve">Urediti izgled blagovne znamke </w:t>
      </w:r>
      <w:proofErr w:type="spellStart"/>
      <w:r w:rsidRPr="00924B23">
        <w:rPr>
          <w:rFonts w:cs="Arial"/>
          <w:bCs/>
          <w:szCs w:val="22"/>
        </w:rPr>
        <w:t>Guerila</w:t>
      </w:r>
      <w:proofErr w:type="spellEnd"/>
      <w:r w:rsidRPr="00924B23">
        <w:rPr>
          <w:rFonts w:cs="Arial"/>
          <w:bCs/>
          <w:szCs w:val="22"/>
        </w:rPr>
        <w:t xml:space="preserve"> po filozofiji </w:t>
      </w:r>
      <w:proofErr w:type="spellStart"/>
      <w:r w:rsidRPr="00924B23">
        <w:rPr>
          <w:rFonts w:cs="Arial"/>
          <w:bCs/>
          <w:szCs w:val="22"/>
        </w:rPr>
        <w:t>Demeter</w:t>
      </w:r>
      <w:proofErr w:type="spellEnd"/>
      <w:r w:rsidRPr="00924B23">
        <w:rPr>
          <w:rFonts w:cs="Arial"/>
          <w:bCs/>
          <w:szCs w:val="22"/>
        </w:rPr>
        <w:t xml:space="preserve"> metode;</w:t>
      </w:r>
    </w:p>
    <w:p w:rsidR="008C3A5B" w:rsidRPr="00877109" w:rsidRDefault="008C3A5B" w:rsidP="008C3A5B">
      <w:pPr>
        <w:numPr>
          <w:ilvl w:val="0"/>
          <w:numId w:val="1"/>
        </w:numPr>
        <w:spacing w:line="276" w:lineRule="auto"/>
        <w:jc w:val="both"/>
        <w:rPr>
          <w:rFonts w:cs="Arial"/>
          <w:bCs/>
          <w:szCs w:val="22"/>
        </w:rPr>
      </w:pPr>
      <w:r w:rsidRPr="00924B23">
        <w:rPr>
          <w:rFonts w:cs="Arial"/>
          <w:bCs/>
          <w:szCs w:val="22"/>
        </w:rPr>
        <w:t xml:space="preserve">Utrditi ugled blagovne znamke </w:t>
      </w:r>
      <w:proofErr w:type="spellStart"/>
      <w:r w:rsidRPr="00924B23">
        <w:rPr>
          <w:rFonts w:cs="Arial"/>
          <w:bCs/>
          <w:szCs w:val="22"/>
        </w:rPr>
        <w:t>Guerila</w:t>
      </w:r>
      <w:proofErr w:type="spellEnd"/>
      <w:r w:rsidRPr="00924B23">
        <w:rPr>
          <w:rFonts w:cs="Arial"/>
          <w:bCs/>
          <w:szCs w:val="22"/>
        </w:rPr>
        <w:t>;</w:t>
      </w:r>
    </w:p>
    <w:p w:rsidR="008C3A5B" w:rsidRPr="00924B23" w:rsidRDefault="008C3A5B" w:rsidP="008C3A5B">
      <w:pPr>
        <w:numPr>
          <w:ilvl w:val="0"/>
          <w:numId w:val="1"/>
        </w:numPr>
        <w:spacing w:line="276" w:lineRule="auto"/>
        <w:jc w:val="both"/>
        <w:rPr>
          <w:rFonts w:cs="Arial"/>
          <w:bCs/>
          <w:szCs w:val="22"/>
        </w:rPr>
      </w:pPr>
      <w:r w:rsidRPr="00924B23">
        <w:rPr>
          <w:rFonts w:cs="Arial"/>
          <w:bCs/>
          <w:szCs w:val="22"/>
        </w:rPr>
        <w:t xml:space="preserve">Povečati količino pridelanih in prodanih </w:t>
      </w:r>
      <w:proofErr w:type="spellStart"/>
      <w:r w:rsidRPr="00924B23">
        <w:rPr>
          <w:rFonts w:cs="Arial"/>
          <w:bCs/>
          <w:szCs w:val="22"/>
        </w:rPr>
        <w:t>zorjenih</w:t>
      </w:r>
      <w:proofErr w:type="spellEnd"/>
      <w:r w:rsidRPr="00924B23">
        <w:rPr>
          <w:rFonts w:cs="Arial"/>
          <w:bCs/>
          <w:szCs w:val="22"/>
        </w:rPr>
        <w:t xml:space="preserve"> vin;</w:t>
      </w:r>
    </w:p>
    <w:p w:rsidR="008C3A5B" w:rsidRPr="00924B23" w:rsidRDefault="008C3A5B" w:rsidP="008C3A5B">
      <w:pPr>
        <w:numPr>
          <w:ilvl w:val="0"/>
          <w:numId w:val="1"/>
        </w:numPr>
        <w:spacing w:line="276" w:lineRule="auto"/>
        <w:jc w:val="both"/>
        <w:rPr>
          <w:rFonts w:cs="Arial"/>
          <w:bCs/>
          <w:szCs w:val="22"/>
        </w:rPr>
      </w:pPr>
      <w:r w:rsidRPr="00924B23">
        <w:rPr>
          <w:rFonts w:cs="Arial"/>
          <w:bCs/>
          <w:szCs w:val="22"/>
        </w:rPr>
        <w:t>Z večjo količino prodaje lastnih vin povečati prihodek in stabilizirati dohodek kmetije.</w:t>
      </w:r>
    </w:p>
    <w:p w:rsidR="00F44E7B" w:rsidRPr="008C3A5B" w:rsidRDefault="00F44E7B" w:rsidP="00F44E7B">
      <w:pPr>
        <w:spacing w:line="276" w:lineRule="auto"/>
        <w:jc w:val="both"/>
        <w:rPr>
          <w:b/>
        </w:rPr>
      </w:pPr>
      <w:r w:rsidRPr="00EE789F">
        <w:rPr>
          <w:b/>
          <w:highlight w:val="yellow"/>
        </w:rPr>
        <w:br/>
      </w:r>
      <w:r w:rsidR="00740720" w:rsidRPr="008C3A5B">
        <w:rPr>
          <w:b/>
        </w:rPr>
        <w:t>PRIČAKOVANI REZULTATI</w:t>
      </w:r>
    </w:p>
    <w:p w:rsidR="008C3A5B" w:rsidRPr="008C3A5B" w:rsidRDefault="008C3A5B" w:rsidP="008C3A5B">
      <w:pPr>
        <w:numPr>
          <w:ilvl w:val="0"/>
          <w:numId w:val="1"/>
        </w:numPr>
        <w:spacing w:line="276" w:lineRule="auto"/>
        <w:jc w:val="both"/>
        <w:rPr>
          <w:rFonts w:cs="Arial"/>
          <w:bCs/>
          <w:szCs w:val="22"/>
        </w:rPr>
      </w:pPr>
      <w:r w:rsidRPr="008C3A5B">
        <w:rPr>
          <w:rFonts w:cs="Arial"/>
          <w:bCs/>
          <w:szCs w:val="22"/>
        </w:rPr>
        <w:t>Izboljšanje tržne strategije;</w:t>
      </w:r>
    </w:p>
    <w:p w:rsidR="008C3A5B" w:rsidRPr="008C3A5B" w:rsidRDefault="008C3A5B" w:rsidP="008C3A5B">
      <w:pPr>
        <w:numPr>
          <w:ilvl w:val="0"/>
          <w:numId w:val="1"/>
        </w:numPr>
        <w:spacing w:line="276" w:lineRule="auto"/>
        <w:jc w:val="both"/>
        <w:rPr>
          <w:rFonts w:cs="Arial"/>
          <w:bCs/>
          <w:szCs w:val="22"/>
        </w:rPr>
      </w:pPr>
      <w:r w:rsidRPr="008C3A5B">
        <w:rPr>
          <w:rFonts w:cs="Arial"/>
          <w:bCs/>
          <w:szCs w:val="22"/>
        </w:rPr>
        <w:t xml:space="preserve">Povečanje prepoznavnosti, </w:t>
      </w:r>
      <w:r>
        <w:rPr>
          <w:rFonts w:cs="Arial"/>
          <w:bCs/>
          <w:szCs w:val="22"/>
        </w:rPr>
        <w:t xml:space="preserve">tudi na tujih trgih, </w:t>
      </w:r>
      <w:r w:rsidRPr="008C3A5B">
        <w:rPr>
          <w:rFonts w:cs="Arial"/>
          <w:bCs/>
          <w:szCs w:val="22"/>
        </w:rPr>
        <w:t>ter posledično povečanje vrednosti prodaje;</w:t>
      </w:r>
    </w:p>
    <w:p w:rsidR="00740720" w:rsidRPr="008C3A5B" w:rsidRDefault="00740720" w:rsidP="00740720">
      <w:pPr>
        <w:numPr>
          <w:ilvl w:val="0"/>
          <w:numId w:val="1"/>
        </w:numPr>
        <w:spacing w:line="276" w:lineRule="auto"/>
        <w:jc w:val="both"/>
        <w:rPr>
          <w:rFonts w:cs="Arial"/>
          <w:bCs/>
          <w:szCs w:val="22"/>
        </w:rPr>
      </w:pPr>
      <w:r w:rsidRPr="008C3A5B">
        <w:rPr>
          <w:rFonts w:cs="Arial"/>
          <w:bCs/>
          <w:szCs w:val="22"/>
        </w:rPr>
        <w:t>Povečanje količine pridelave kakovostnih lastnih vin;</w:t>
      </w:r>
    </w:p>
    <w:p w:rsidR="00740720" w:rsidRPr="008C3A5B" w:rsidRDefault="00740720" w:rsidP="00740720">
      <w:pPr>
        <w:numPr>
          <w:ilvl w:val="0"/>
          <w:numId w:val="1"/>
        </w:numPr>
        <w:spacing w:line="276" w:lineRule="auto"/>
        <w:jc w:val="both"/>
        <w:rPr>
          <w:rFonts w:cs="Arial"/>
          <w:bCs/>
          <w:szCs w:val="22"/>
        </w:rPr>
      </w:pPr>
      <w:r w:rsidRPr="008C3A5B">
        <w:rPr>
          <w:rFonts w:cs="Arial"/>
          <w:bCs/>
          <w:szCs w:val="22"/>
        </w:rPr>
        <w:t>Omogočiti višji zaslužek kmetije</w:t>
      </w:r>
      <w:r w:rsidR="008C3A5B" w:rsidRPr="008C3A5B">
        <w:rPr>
          <w:rFonts w:cs="Arial"/>
          <w:bCs/>
          <w:szCs w:val="22"/>
        </w:rPr>
        <w:t>.</w:t>
      </w:r>
    </w:p>
    <w:p w:rsidR="00F44E7B" w:rsidRPr="002E1AD0" w:rsidRDefault="00F44E7B" w:rsidP="00F44E7B">
      <w:pPr>
        <w:spacing w:line="276" w:lineRule="auto"/>
        <w:jc w:val="both"/>
      </w:pPr>
    </w:p>
    <w:p w:rsidR="009B5B4D" w:rsidRPr="00366560" w:rsidRDefault="009B5B4D" w:rsidP="00366560"/>
    <w:sectPr w:rsidR="009B5B4D" w:rsidRPr="00366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C34F4"/>
    <w:multiLevelType w:val="hybridMultilevel"/>
    <w:tmpl w:val="3F809CF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4E2A06"/>
    <w:multiLevelType w:val="hybridMultilevel"/>
    <w:tmpl w:val="E92609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654D5"/>
    <w:multiLevelType w:val="hybridMultilevel"/>
    <w:tmpl w:val="65C807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CC"/>
    <w:rsid w:val="001137CC"/>
    <w:rsid w:val="00257407"/>
    <w:rsid w:val="00366560"/>
    <w:rsid w:val="00413CC9"/>
    <w:rsid w:val="00432105"/>
    <w:rsid w:val="00740720"/>
    <w:rsid w:val="007A12E6"/>
    <w:rsid w:val="008B6220"/>
    <w:rsid w:val="008C3A5B"/>
    <w:rsid w:val="009B5B4D"/>
    <w:rsid w:val="00CD4D05"/>
    <w:rsid w:val="00E55036"/>
    <w:rsid w:val="00EE789F"/>
    <w:rsid w:val="00F4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9DEB"/>
  <w15:chartTrackingRefBased/>
  <w15:docId w15:val="{6146D3D5-8973-49A5-AD74-8AB90343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44E7B"/>
    <w:pPr>
      <w:suppressAutoHyphens/>
      <w:spacing w:after="0" w:line="240" w:lineRule="auto"/>
    </w:pPr>
    <w:rPr>
      <w:rFonts w:ascii="Calibri" w:eastAsia="Times New Roman" w:hAnsi="Calibri" w:cs="Times New Roman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old">
    <w:name w:val="bold"/>
    <w:basedOn w:val="Privzetapisavaodstavka"/>
    <w:rsid w:val="00F44E7B"/>
  </w:style>
  <w:style w:type="paragraph" w:styleId="Noga">
    <w:name w:val="footer"/>
    <w:basedOn w:val="Navaden"/>
    <w:link w:val="NogaZnak"/>
    <w:uiPriority w:val="99"/>
    <w:rsid w:val="00F44E7B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F44E7B"/>
    <w:rPr>
      <w:rFonts w:ascii="Calibri" w:eastAsia="Times New Roman" w:hAnsi="Calibri" w:cs="Times New Roman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Velikonja</dc:creator>
  <cp:keywords/>
  <dc:description/>
  <cp:lastModifiedBy>Katja Velikonja</cp:lastModifiedBy>
  <cp:revision>7</cp:revision>
  <dcterms:created xsi:type="dcterms:W3CDTF">2019-03-07T11:33:00Z</dcterms:created>
  <dcterms:modified xsi:type="dcterms:W3CDTF">2019-03-07T12:04:00Z</dcterms:modified>
</cp:coreProperties>
</file>